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929C" w14:textId="77777777" w:rsidR="00E17595" w:rsidRPr="0001059D" w:rsidRDefault="00E17595" w:rsidP="008C2A66">
      <w:pPr>
        <w:pStyle w:val="Normlnweb"/>
        <w:shd w:val="clear" w:color="auto" w:fill="FFFFFF"/>
        <w:spacing w:before="0" w:beforeAutospacing="0"/>
        <w:jc w:val="center"/>
        <w:rPr>
          <w:rFonts w:ascii="Calibri" w:hAnsi="Calibri" w:cs="Calibri"/>
          <w:b/>
          <w:bCs/>
          <w:color w:val="535759"/>
          <w:sz w:val="52"/>
        </w:rPr>
      </w:pPr>
      <w:bookmarkStart w:id="0" w:name="_GoBack"/>
      <w:bookmarkEnd w:id="0"/>
      <w:r w:rsidRPr="0001059D">
        <w:rPr>
          <w:rFonts w:ascii="Calibri" w:hAnsi="Calibri" w:cs="Calibri"/>
          <w:b/>
          <w:bCs/>
          <w:color w:val="535759"/>
          <w:sz w:val="52"/>
        </w:rPr>
        <w:t>PROVOZNÍ ŘÁD</w:t>
      </w:r>
    </w:p>
    <w:p w14:paraId="1211E001" w14:textId="33099C6F" w:rsidR="00D91534" w:rsidRDefault="00B74798" w:rsidP="008C2A66">
      <w:pPr>
        <w:pStyle w:val="Normlnweb"/>
        <w:shd w:val="clear" w:color="auto" w:fill="FFFFFF"/>
        <w:spacing w:before="0" w:beforeAutospacing="0"/>
        <w:jc w:val="center"/>
        <w:rPr>
          <w:rFonts w:ascii="Calibri" w:hAnsi="Calibri" w:cs="Calibri"/>
          <w:b/>
          <w:bCs/>
          <w:color w:val="535759"/>
          <w:sz w:val="28"/>
        </w:rPr>
      </w:pPr>
      <w:r w:rsidRPr="0001059D">
        <w:rPr>
          <w:rFonts w:ascii="Calibri" w:hAnsi="Calibri" w:cs="Calibri"/>
          <w:b/>
          <w:bCs/>
          <w:color w:val="535759"/>
          <w:sz w:val="28"/>
        </w:rPr>
        <w:t>Obec Velká Lečice na základě usnesení č</w:t>
      </w:r>
      <w:r w:rsidR="00567581" w:rsidRPr="0001059D">
        <w:rPr>
          <w:rFonts w:ascii="Calibri" w:hAnsi="Calibri" w:cs="Calibri"/>
          <w:b/>
          <w:bCs/>
          <w:color w:val="535759"/>
          <w:sz w:val="28"/>
        </w:rPr>
        <w:t xml:space="preserve">. 12 přijatém na zasedání Zastupitelstva obce Velká Lečice dne 9. 5. 2024 </w:t>
      </w:r>
      <w:r w:rsidRPr="0001059D">
        <w:rPr>
          <w:rFonts w:ascii="Calibri" w:hAnsi="Calibri" w:cs="Calibri"/>
          <w:b/>
          <w:bCs/>
          <w:color w:val="535759"/>
          <w:sz w:val="28"/>
        </w:rPr>
        <w:t xml:space="preserve">vydává provozní řád </w:t>
      </w:r>
      <w:r w:rsidR="0085649A" w:rsidRPr="0001059D">
        <w:rPr>
          <w:rFonts w:ascii="Calibri" w:hAnsi="Calibri" w:cs="Calibri"/>
          <w:b/>
          <w:bCs/>
          <w:color w:val="535759"/>
          <w:sz w:val="28"/>
        </w:rPr>
        <w:t xml:space="preserve">pro využívání </w:t>
      </w:r>
      <w:r w:rsidRPr="0001059D">
        <w:rPr>
          <w:rFonts w:ascii="Calibri" w:hAnsi="Calibri" w:cs="Calibri"/>
          <w:b/>
          <w:bCs/>
          <w:color w:val="535759"/>
          <w:sz w:val="28"/>
        </w:rPr>
        <w:t>víceúčelové</w:t>
      </w:r>
      <w:r w:rsidR="00D91534" w:rsidRPr="0001059D">
        <w:rPr>
          <w:rFonts w:ascii="Calibri" w:hAnsi="Calibri" w:cs="Calibri"/>
          <w:b/>
          <w:bCs/>
          <w:color w:val="535759"/>
          <w:sz w:val="28"/>
        </w:rPr>
        <w:t xml:space="preserve"> kulturní</w:t>
      </w:r>
      <w:r w:rsidRPr="0001059D">
        <w:rPr>
          <w:rFonts w:ascii="Calibri" w:hAnsi="Calibri" w:cs="Calibri"/>
          <w:b/>
          <w:bCs/>
          <w:color w:val="535759"/>
          <w:sz w:val="28"/>
        </w:rPr>
        <w:t xml:space="preserve"> budovy</w:t>
      </w:r>
      <w:r w:rsidR="008C2A66" w:rsidRPr="0001059D">
        <w:rPr>
          <w:rFonts w:ascii="Calibri" w:hAnsi="Calibri" w:cs="Calibri"/>
          <w:b/>
          <w:bCs/>
          <w:color w:val="535759"/>
          <w:sz w:val="28"/>
        </w:rPr>
        <w:t xml:space="preserve"> Kocába</w:t>
      </w:r>
      <w:r w:rsidR="00BC40AE" w:rsidRPr="0001059D">
        <w:rPr>
          <w:rFonts w:ascii="Calibri" w:hAnsi="Calibri" w:cs="Calibri"/>
          <w:b/>
          <w:bCs/>
          <w:color w:val="535759"/>
          <w:sz w:val="28"/>
        </w:rPr>
        <w:t xml:space="preserve"> </w:t>
      </w:r>
      <w:proofErr w:type="gramStart"/>
      <w:r w:rsidR="00BC40AE" w:rsidRPr="0001059D">
        <w:rPr>
          <w:rFonts w:ascii="Calibri" w:hAnsi="Calibri" w:cs="Calibri"/>
          <w:b/>
          <w:bCs/>
          <w:color w:val="535759"/>
          <w:sz w:val="28"/>
        </w:rPr>
        <w:t>č.p.</w:t>
      </w:r>
      <w:proofErr w:type="gramEnd"/>
      <w:r w:rsidR="00BC40AE" w:rsidRPr="0001059D">
        <w:rPr>
          <w:rFonts w:ascii="Calibri" w:hAnsi="Calibri" w:cs="Calibri"/>
          <w:b/>
          <w:bCs/>
          <w:color w:val="535759"/>
          <w:sz w:val="28"/>
        </w:rPr>
        <w:t xml:space="preserve"> 8</w:t>
      </w:r>
      <w:r w:rsidR="00D91534" w:rsidRPr="0001059D">
        <w:rPr>
          <w:rFonts w:ascii="Calibri" w:hAnsi="Calibri" w:cs="Calibri"/>
          <w:b/>
          <w:bCs/>
          <w:color w:val="535759"/>
          <w:sz w:val="28"/>
        </w:rPr>
        <w:t>9 ve Velké Lečice</w:t>
      </w:r>
      <w:r w:rsidRPr="0001059D">
        <w:rPr>
          <w:rFonts w:ascii="Calibri" w:hAnsi="Calibri" w:cs="Calibri"/>
          <w:b/>
          <w:bCs/>
          <w:color w:val="535759"/>
          <w:sz w:val="28"/>
        </w:rPr>
        <w:t xml:space="preserve"> a přilehlých prostor </w:t>
      </w:r>
      <w:r w:rsidR="00D91534" w:rsidRPr="0001059D">
        <w:rPr>
          <w:rFonts w:ascii="Calibri" w:hAnsi="Calibri" w:cs="Calibri"/>
          <w:b/>
          <w:bCs/>
          <w:color w:val="535759"/>
          <w:sz w:val="28"/>
        </w:rPr>
        <w:t>ve vlastnictví obce Velká Lečice.</w:t>
      </w:r>
    </w:p>
    <w:p w14:paraId="5B803623" w14:textId="77777777" w:rsidR="002C4CCB" w:rsidRPr="0001059D" w:rsidRDefault="002C4CCB" w:rsidP="008C2A66">
      <w:pPr>
        <w:pStyle w:val="Normlnweb"/>
        <w:shd w:val="clear" w:color="auto" w:fill="FFFFFF"/>
        <w:spacing w:before="0" w:beforeAutospacing="0"/>
        <w:jc w:val="center"/>
        <w:rPr>
          <w:rFonts w:ascii="Calibri" w:hAnsi="Calibri" w:cs="Calibri"/>
          <w:b/>
          <w:bCs/>
          <w:color w:val="535759"/>
          <w:sz w:val="28"/>
        </w:rPr>
      </w:pPr>
    </w:p>
    <w:p w14:paraId="4DCE3AF9" w14:textId="77777777" w:rsidR="008C2A66" w:rsidRP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I. Úvodní ustanovení</w:t>
      </w:r>
      <w:r w:rsidRPr="008C2A66">
        <w:rPr>
          <w:b/>
          <w:bCs/>
        </w:rPr>
        <w:br/>
      </w:r>
    </w:p>
    <w:p w14:paraId="53195D9A" w14:textId="73F8C4E2" w:rsidR="00B74798" w:rsidRPr="0001059D" w:rsidRDefault="00B74798" w:rsidP="008C2A66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Provozní řád budovy </w:t>
      </w:r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stanoví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podmínky, pravidla </w:t>
      </w:r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pronájmu společenského sálu s příslušenstvím v prostorách budovy </w:t>
      </w:r>
      <w:proofErr w:type="gramStart"/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č.p.</w:t>
      </w:r>
      <w:proofErr w:type="gramEnd"/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89 ve Velké </w:t>
      </w:r>
      <w:proofErr w:type="spellStart"/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Lečici</w:t>
      </w:r>
      <w:proofErr w:type="spellEnd"/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a povinnosti nájemce</w:t>
      </w:r>
      <w:r w:rsidR="00D9153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a uživatele</w:t>
      </w:r>
      <w:r w:rsidR="002C4CCB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při jeho hospodárném využívání.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Obec Velká Lečice  (dále také „Obec“) je vlastníkem v</w:t>
      </w:r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íceúčelov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é</w:t>
      </w:r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kulturní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budovy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č.p. </w:t>
      </w:r>
      <w:r w:rsidR="00BC40A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89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D9153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Velká Lečice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na pozemku </w:t>
      </w:r>
      <w:proofErr w:type="spellStart"/>
      <w:proofErr w:type="gramStart"/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par.č</w:t>
      </w:r>
      <w:proofErr w:type="spellEnd"/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</w:t>
      </w:r>
      <w:proofErr w:type="gramEnd"/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st. 142 a přilehlého pozemku 92/2 vše v kat. území Velká Lečice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 a pronajímá v uvedené budově č.p. 89 víceúčelovou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místnost o velikosti</w:t>
      </w:r>
      <w:r w:rsidR="008C2A66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(sál)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380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m2,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vč. příslušenství: </w:t>
      </w:r>
      <w:r w:rsidR="00D9153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šatn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y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sociální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ho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zařízení (WC) pro ženy a </w:t>
      </w:r>
      <w:r w:rsidR="008D7033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pro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muže s přístupem zevnitř. Součástí víceúčelové místnosti je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pódium a vybavení formou stolů a </w:t>
      </w:r>
      <w:proofErr w:type="gramStart"/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židlí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..</w:t>
      </w:r>
      <w:proofErr w:type="gramEnd"/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Víceúčelová místnost je účelovým zařízením, určeným k pořádání akcí organizací i jednotlivci. Akcemi se rozumí kulturní, sportovní, společenské a ostatní činnosti včas oznámené a povolené obecním úřadem.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Maximální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kapacita je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199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osob.</w:t>
      </w:r>
    </w:p>
    <w:p w14:paraId="71923355" w14:textId="77777777" w:rsidR="008C2A66" w:rsidRP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II. Objednání akce</w:t>
      </w:r>
    </w:p>
    <w:p w14:paraId="0F28CC5E" w14:textId="4DC138A7" w:rsidR="00B74798" w:rsidRPr="0001059D" w:rsidRDefault="00B74798" w:rsidP="008C2A66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B74798">
        <w:rPr>
          <w:rFonts w:ascii="Calibri" w:hAnsi="Calibri" w:cs="Calibri"/>
          <w:color w:val="535759"/>
        </w:rPr>
        <w:br/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Nájemce objektu je povinen včas nahlásit na Obecním úřadě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Velká Lečice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druh akce, termín konání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předpokládaný počet zúčastněných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a jméno odpovědné osoby (starší 18 let), která zodpovídá za průběh celé akce, a které budou vydány klíče od objektu. Žádost o pronájem je podávána písemně prostřednictvím „Žádosti“, jejíž formulář je volně ke stažení z webových stránek obce nebo k vyzvednutí na OÚ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Velká Lečice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.</w:t>
      </w:r>
      <w:r w:rsidR="008C2A66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Vyplněný a podepsaný formulář musí být doručen na OÚ nejméně 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14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dní před konáním akce. Ve výjimečných případech lze lhůtu zkrátit na základě osobní domluvy. Nájemce a odpovědná osoba souhlasí se zpracováním osobních údajů pro potřeby pronájmu a evidence akcí. O souhlasu s pronájmem rozhoduje starosta, případ</w:t>
      </w:r>
      <w:r w:rsidR="0085649A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ně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5F32A7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za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jeho nepřítomnosti místostarosta obce. Na poskytnutí pronájmu není právní nárok. </w:t>
      </w:r>
    </w:p>
    <w:p w14:paraId="6CC0989E" w14:textId="77777777" w:rsidR="008C2A66" w:rsidRP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III. Předání nájemci</w:t>
      </w:r>
    </w:p>
    <w:p w14:paraId="2B34F4E9" w14:textId="329C11D5" w:rsidR="00B74798" w:rsidRPr="0001059D" w:rsidRDefault="00B74798" w:rsidP="008C2A66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B74798">
        <w:rPr>
          <w:rFonts w:ascii="Calibri" w:hAnsi="Calibri" w:cs="Calibri"/>
          <w:color w:val="535759"/>
        </w:rPr>
        <w:br/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Při předání 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prostor k pronájmu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a klíčů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nájemce převezme objekt a potvrdí, že vybavení je v pořádku. Místnost je vydávána uklizená. Při převzetí prostor je nájemce seznámen s umístěním hasících přístrojů, únikových východů a s požárními předpisy, kterými je povinen se při akci řídit. Pronajímatel nezajišťuje: dokončovací detailní úklid před akcí, přemývání nádobí, rozmístění stolů a židlí.</w:t>
      </w:r>
    </w:p>
    <w:p w14:paraId="3216392C" w14:textId="5540B65B" w:rsidR="008C2A66" w:rsidRDefault="008C2A66" w:rsidP="008C2A66">
      <w:pPr>
        <w:pStyle w:val="Bezmezer"/>
        <w:rPr>
          <w:b/>
          <w:bCs/>
        </w:rPr>
      </w:pPr>
      <w:r w:rsidRPr="008C2A66">
        <w:rPr>
          <w:b/>
          <w:bCs/>
        </w:rPr>
        <w:t>IV. Práva a povinnosti nájemce při průběhu akce</w:t>
      </w:r>
    </w:p>
    <w:p w14:paraId="64E1B346" w14:textId="77777777" w:rsidR="008C2A66" w:rsidRPr="008C2A66" w:rsidRDefault="008C2A66" w:rsidP="008C2A66">
      <w:pPr>
        <w:pStyle w:val="Bezmezer"/>
        <w:rPr>
          <w:b/>
          <w:bCs/>
        </w:rPr>
      </w:pPr>
    </w:p>
    <w:p w14:paraId="29A4626B" w14:textId="74658FC2" w:rsidR="00B74798" w:rsidRPr="0001059D" w:rsidRDefault="00B74798" w:rsidP="008C2A66">
      <w:pPr>
        <w:pStyle w:val="Bezmezer"/>
        <w:jc w:val="both"/>
        <w:rPr>
          <w:sz w:val="20"/>
        </w:rPr>
      </w:pPr>
      <w:r w:rsidRPr="0001059D">
        <w:rPr>
          <w:sz w:val="20"/>
        </w:rPr>
        <w:t xml:space="preserve">Nájemce zodpovídá za pořádek v době od převzetí prostor až do předání </w:t>
      </w:r>
      <w:r w:rsidR="00C06354" w:rsidRPr="0001059D">
        <w:rPr>
          <w:sz w:val="20"/>
        </w:rPr>
        <w:t>zástupci Obce</w:t>
      </w:r>
      <w:r w:rsidRPr="0001059D">
        <w:rPr>
          <w:sz w:val="20"/>
        </w:rPr>
        <w:t>. Odpovědná osoba odpovídá při vlastní akci za pořádek a její důstojný průběh, aby nedocházelo k porušování právního řádu České republiky, jedná</w:t>
      </w:r>
      <w:r w:rsidRPr="0001059D">
        <w:rPr>
          <w:rFonts w:ascii="Cambria Math" w:hAnsi="Cambria Math" w:cs="Cambria Math"/>
          <w:sz w:val="20"/>
        </w:rPr>
        <w:t>‐</w:t>
      </w:r>
      <w:r w:rsidRPr="0001059D">
        <w:rPr>
          <w:sz w:val="20"/>
        </w:rPr>
        <w:t>li se o akci neve</w:t>
      </w:r>
      <w:r w:rsidRPr="0001059D">
        <w:rPr>
          <w:rFonts w:ascii="Aptos" w:hAnsi="Aptos" w:cs="Aptos"/>
          <w:sz w:val="20"/>
        </w:rPr>
        <w:t>ř</w:t>
      </w:r>
      <w:r w:rsidRPr="0001059D">
        <w:rPr>
          <w:sz w:val="20"/>
        </w:rPr>
        <w:t>ejnou, tak</w:t>
      </w:r>
      <w:r w:rsidRPr="0001059D">
        <w:rPr>
          <w:rFonts w:ascii="Aptos" w:hAnsi="Aptos" w:cs="Aptos"/>
          <w:sz w:val="20"/>
        </w:rPr>
        <w:t>é</w:t>
      </w:r>
      <w:r w:rsidRPr="0001059D">
        <w:rPr>
          <w:sz w:val="20"/>
        </w:rPr>
        <w:t xml:space="preserve"> za zabr</w:t>
      </w:r>
      <w:r w:rsidRPr="0001059D">
        <w:rPr>
          <w:rFonts w:ascii="Aptos" w:hAnsi="Aptos" w:cs="Aptos"/>
          <w:sz w:val="20"/>
        </w:rPr>
        <w:t>á</w:t>
      </w:r>
      <w:r w:rsidRPr="0001059D">
        <w:rPr>
          <w:sz w:val="20"/>
        </w:rPr>
        <w:t>n</w:t>
      </w:r>
      <w:r w:rsidRPr="0001059D">
        <w:rPr>
          <w:rFonts w:ascii="Aptos" w:hAnsi="Aptos" w:cs="Aptos"/>
          <w:sz w:val="20"/>
        </w:rPr>
        <w:t>ě</w:t>
      </w:r>
      <w:r w:rsidRPr="0001059D">
        <w:rPr>
          <w:sz w:val="20"/>
        </w:rPr>
        <w:t>n</w:t>
      </w:r>
      <w:r w:rsidRPr="0001059D">
        <w:rPr>
          <w:rFonts w:ascii="Aptos" w:hAnsi="Aptos" w:cs="Aptos"/>
          <w:sz w:val="20"/>
        </w:rPr>
        <w:t>í</w:t>
      </w:r>
      <w:r w:rsidRPr="0001059D">
        <w:rPr>
          <w:sz w:val="20"/>
        </w:rPr>
        <w:t xml:space="preserve"> vstupu nepovolan</w:t>
      </w:r>
      <w:r w:rsidRPr="0001059D">
        <w:rPr>
          <w:rFonts w:ascii="Aptos" w:hAnsi="Aptos" w:cs="Aptos"/>
          <w:sz w:val="20"/>
        </w:rPr>
        <w:t>ý</w:t>
      </w:r>
      <w:r w:rsidRPr="0001059D">
        <w:rPr>
          <w:sz w:val="20"/>
        </w:rPr>
        <w:t>ch osob. N</w:t>
      </w:r>
      <w:r w:rsidRPr="0001059D">
        <w:rPr>
          <w:rFonts w:ascii="Aptos" w:hAnsi="Aptos" w:cs="Aptos"/>
          <w:sz w:val="20"/>
        </w:rPr>
        <w:t>á</w:t>
      </w:r>
      <w:r w:rsidRPr="0001059D">
        <w:rPr>
          <w:sz w:val="20"/>
        </w:rPr>
        <w:t>jemce m</w:t>
      </w:r>
      <w:r w:rsidRPr="0001059D">
        <w:rPr>
          <w:rFonts w:ascii="Aptos" w:hAnsi="Aptos" w:cs="Aptos"/>
          <w:sz w:val="20"/>
        </w:rPr>
        <w:t>á</w:t>
      </w:r>
      <w:r w:rsidRPr="0001059D">
        <w:rPr>
          <w:sz w:val="20"/>
        </w:rPr>
        <w:t xml:space="preserve"> povinnost dodr</w:t>
      </w:r>
      <w:r w:rsidRPr="0001059D">
        <w:rPr>
          <w:rFonts w:ascii="Aptos" w:hAnsi="Aptos" w:cs="Aptos"/>
          <w:sz w:val="20"/>
        </w:rPr>
        <w:t>ž</w:t>
      </w:r>
      <w:r w:rsidRPr="0001059D">
        <w:rPr>
          <w:sz w:val="20"/>
        </w:rPr>
        <w:t>ovat z</w:t>
      </w:r>
      <w:r w:rsidRPr="0001059D">
        <w:rPr>
          <w:rFonts w:ascii="Aptos" w:hAnsi="Aptos" w:cs="Aptos"/>
          <w:sz w:val="20"/>
        </w:rPr>
        <w:t>á</w:t>
      </w:r>
      <w:r w:rsidRPr="0001059D">
        <w:rPr>
          <w:sz w:val="20"/>
        </w:rPr>
        <w:t>kaz kou</w:t>
      </w:r>
      <w:r w:rsidRPr="0001059D">
        <w:rPr>
          <w:rFonts w:ascii="Aptos" w:hAnsi="Aptos" w:cs="Aptos"/>
          <w:sz w:val="20"/>
        </w:rPr>
        <w:t>ř</w:t>
      </w:r>
      <w:r w:rsidRPr="0001059D">
        <w:rPr>
          <w:sz w:val="20"/>
        </w:rPr>
        <w:t>en</w:t>
      </w:r>
      <w:r w:rsidRPr="0001059D">
        <w:rPr>
          <w:rFonts w:ascii="Aptos" w:hAnsi="Aptos" w:cs="Aptos"/>
          <w:sz w:val="20"/>
        </w:rPr>
        <w:t>í</w:t>
      </w:r>
      <w:r w:rsidRPr="0001059D">
        <w:rPr>
          <w:sz w:val="20"/>
        </w:rPr>
        <w:t xml:space="preserve"> ve v</w:t>
      </w:r>
      <w:r w:rsidRPr="0001059D">
        <w:rPr>
          <w:rFonts w:ascii="Aptos" w:hAnsi="Aptos" w:cs="Aptos"/>
          <w:sz w:val="20"/>
        </w:rPr>
        <w:t>š</w:t>
      </w:r>
      <w:r w:rsidRPr="0001059D">
        <w:rPr>
          <w:sz w:val="20"/>
        </w:rPr>
        <w:t>ech</w:t>
      </w:r>
      <w:r w:rsidR="00314159" w:rsidRPr="0001059D">
        <w:rPr>
          <w:sz w:val="20"/>
        </w:rPr>
        <w:t xml:space="preserve"> </w:t>
      </w:r>
      <w:r w:rsidRPr="0001059D">
        <w:rPr>
          <w:sz w:val="20"/>
        </w:rPr>
        <w:t>pronajatých</w:t>
      </w:r>
      <w:r w:rsidR="00314159" w:rsidRPr="0001059D">
        <w:rPr>
          <w:sz w:val="20"/>
        </w:rPr>
        <w:t xml:space="preserve"> </w:t>
      </w:r>
      <w:r w:rsidRPr="0001059D">
        <w:rPr>
          <w:sz w:val="20"/>
        </w:rPr>
        <w:t>vnitřních</w:t>
      </w:r>
      <w:r w:rsidR="00314159" w:rsidRPr="0001059D">
        <w:rPr>
          <w:sz w:val="20"/>
        </w:rPr>
        <w:t xml:space="preserve"> </w:t>
      </w:r>
      <w:r w:rsidRPr="0001059D">
        <w:rPr>
          <w:sz w:val="20"/>
        </w:rPr>
        <w:t>prostorách.</w:t>
      </w:r>
      <w:r w:rsidR="00314159" w:rsidRPr="0001059D">
        <w:rPr>
          <w:sz w:val="20"/>
        </w:rPr>
        <w:t xml:space="preserve"> Instalace výzdoby a reklam je možná pouze po domluvě s obcí. </w:t>
      </w:r>
      <w:r w:rsidRPr="0001059D">
        <w:rPr>
          <w:sz w:val="20"/>
        </w:rPr>
        <w:t xml:space="preserve">Nepřípustné je přibíjení </w:t>
      </w:r>
      <w:r w:rsidR="00314159" w:rsidRPr="0001059D">
        <w:rPr>
          <w:sz w:val="20"/>
        </w:rPr>
        <w:t xml:space="preserve">jakýchkoliv </w:t>
      </w:r>
      <w:r w:rsidRPr="0001059D">
        <w:rPr>
          <w:sz w:val="20"/>
        </w:rPr>
        <w:t>předmětů. Nájemce se zavazuje dodržovat zásady protipožární prevence a v případech, kdy to zákon vyžaduje, zajistit dohled požární hlídky</w:t>
      </w:r>
      <w:r w:rsidR="008C2A66" w:rsidRPr="0001059D">
        <w:rPr>
          <w:sz w:val="20"/>
        </w:rPr>
        <w:t>.</w:t>
      </w:r>
      <w:r w:rsidRPr="0001059D">
        <w:rPr>
          <w:sz w:val="20"/>
        </w:rPr>
        <w:t xml:space="preserve"> Zakazuje se používání zábavné pyrotechniky uvnitř i vně objektu. Při cvičení nebo jiném sportu jsou cvičící povinni po skončení cvičení po sobě uklidit. Porušení tohoto zákazu bude posuzováno jako způsobení škody. Za škody vzniklé v průběhu akce na budově, zařízení a movitém majetku odpovídá zodpovědná osoba nájemce, uvedená ve smlouvě o pronájmu. Vlastník objektu Obec </w:t>
      </w:r>
      <w:r w:rsidR="00314159" w:rsidRPr="0001059D">
        <w:rPr>
          <w:sz w:val="20"/>
        </w:rPr>
        <w:t>Velká Lečice</w:t>
      </w:r>
      <w:r w:rsidRPr="0001059D">
        <w:rPr>
          <w:sz w:val="20"/>
        </w:rPr>
        <w:t xml:space="preserve"> nezodpovídá za škody vzniklé nájemci při konání akce. Nájemce je povinen dodržovat bezpečnostní předpisy, zejména dodržovat noční klid od 22. do 6. hodiny, umožnit </w:t>
      </w:r>
      <w:r w:rsidRPr="0001059D">
        <w:rPr>
          <w:sz w:val="20"/>
        </w:rPr>
        <w:lastRenderedPageBreak/>
        <w:t xml:space="preserve">vstup kontrolním orgánům, zástupcům </w:t>
      </w:r>
      <w:r w:rsidR="00C06354" w:rsidRPr="0001059D">
        <w:rPr>
          <w:sz w:val="20"/>
        </w:rPr>
        <w:t xml:space="preserve">Obce </w:t>
      </w:r>
      <w:r w:rsidRPr="0001059D">
        <w:rPr>
          <w:sz w:val="20"/>
        </w:rPr>
        <w:t xml:space="preserve">a řídit se pokyny </w:t>
      </w:r>
      <w:r w:rsidR="00C06354" w:rsidRPr="0001059D">
        <w:rPr>
          <w:sz w:val="20"/>
        </w:rPr>
        <w:t>zástupce Obce</w:t>
      </w:r>
      <w:r w:rsidRPr="0001059D">
        <w:rPr>
          <w:sz w:val="20"/>
        </w:rPr>
        <w:t xml:space="preserve">, který bude provádět dohled při akcích cizích organizací. Za pořádek kolem budovy </w:t>
      </w:r>
      <w:proofErr w:type="gramStart"/>
      <w:r w:rsidR="00C06354" w:rsidRPr="0001059D">
        <w:rPr>
          <w:sz w:val="20"/>
        </w:rPr>
        <w:t>č.p.</w:t>
      </w:r>
      <w:proofErr w:type="gramEnd"/>
      <w:r w:rsidR="00C06354" w:rsidRPr="0001059D">
        <w:rPr>
          <w:sz w:val="20"/>
        </w:rPr>
        <w:t xml:space="preserve"> 89</w:t>
      </w:r>
      <w:r w:rsidRPr="0001059D">
        <w:rPr>
          <w:sz w:val="20"/>
        </w:rPr>
        <w:t xml:space="preserve"> v době konání pořádané akce odpovídá nájemce.</w:t>
      </w:r>
    </w:p>
    <w:p w14:paraId="48D359C9" w14:textId="77777777" w:rsidR="008C2A66" w:rsidRPr="00B74798" w:rsidRDefault="008C2A66" w:rsidP="008C2A66">
      <w:pPr>
        <w:pStyle w:val="Bezmezer"/>
        <w:jc w:val="both"/>
      </w:pPr>
    </w:p>
    <w:p w14:paraId="7AB54645" w14:textId="77777777" w:rsidR="008C2A66" w:rsidRP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V. Povinnosti nájemce po skončení akce</w:t>
      </w:r>
      <w:r w:rsidR="00314159" w:rsidRPr="008C2A66">
        <w:rPr>
          <w:b/>
          <w:bCs/>
        </w:rPr>
        <w:t xml:space="preserve"> </w:t>
      </w:r>
      <w:r w:rsidRPr="008C2A66">
        <w:rPr>
          <w:b/>
          <w:bCs/>
        </w:rPr>
        <w:t>a předání víceúčelové místnosti správci</w:t>
      </w:r>
    </w:p>
    <w:p w14:paraId="22605932" w14:textId="458B5B83" w:rsidR="00B74798" w:rsidRPr="0001059D" w:rsidRDefault="00B74798" w:rsidP="00314159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314159">
        <w:rPr>
          <w:rFonts w:ascii="Calibri" w:hAnsi="Calibri" w:cs="Calibri"/>
          <w:b/>
          <w:bCs/>
          <w:color w:val="535759"/>
        </w:rPr>
        <w:br/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Po skončení akce nájemce zodpovídá za řádné uzavření užívaných prostor (dveře, okna), vypnutí světel a spotřebičů a zamezení možnosti vzniku škod z nedbalosti. Odpovědná osoba odchází z objektu jako poslední a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pronajaté prostory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uzamkne. Po skončení akce zajistí nájemce úklid pronajatých prostor do původního stavu. Nadměrné znečištění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(zejména nedopalky, zvratky a jiné odpadky)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venkovních prostor kolem budovy způsobené v průběhu akce odstraní nájemce a venkovní prostory uvede do původního stavu.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Po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skončení akce je nájemce povinen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dle předem domluveného termínu uvedeného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v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 žádosti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předat objekt zpět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pronajímateli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, přičemž oznámí případné vzniklé závady či škody. 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Zástupce obce 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provede kontrolu zařízení, předání bude zaznamenáno v předávacím protokolu. O případně vzniklých škodách sepíše správce s nájemcem protokol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pořídí fotodokumentaci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a 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Obec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stanoví na jeho základě výši škody. Nájemce je povinen tyto škody buď odstranit, nebo nahradit finančně, a to nejpozději do 5 pracovních dnů od obdržení výzvy 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Obce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do té doby mu nebude vrácena složená kauce. Odstraněním škody se rozumí pořízení nové věci, nebo oprava tak, aby byla věc uvedena do původního stavu.</w:t>
      </w:r>
    </w:p>
    <w:p w14:paraId="4D6A1D3F" w14:textId="77777777" w:rsidR="008C2A66" w:rsidRP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VI. Cena pronájmu</w:t>
      </w:r>
    </w:p>
    <w:p w14:paraId="654AA116" w14:textId="410D4594" w:rsidR="00B74798" w:rsidRPr="0001059D" w:rsidRDefault="00B74798" w:rsidP="00BC4A2E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8C2A66">
        <w:rPr>
          <w:rFonts w:ascii="Calibri" w:hAnsi="Calibri" w:cs="Calibri"/>
          <w:b/>
          <w:bCs/>
          <w:color w:val="535759"/>
        </w:rPr>
        <w:br/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Cena za pronájem sálu</w:t>
      </w:r>
      <w:r w:rsidR="00314159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a přilehlých prostor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je uvedena v Ceníku (příloha č. 1).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Úhrada za pronájem bude provedena </w:t>
      </w:r>
      <w:r w:rsidR="00EA7869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hotově před konáním akce 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, v hotovosti na 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Obecním 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úřadě ve Velké Lečici, nebo na účet obce u KB, </w:t>
      </w:r>
      <w:proofErr w:type="spellStart"/>
      <w:proofErr w:type="gramStart"/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č.ú</w:t>
      </w:r>
      <w:proofErr w:type="spellEnd"/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:</w:t>
      </w:r>
      <w:proofErr w:type="gramEnd"/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567581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414 272 11/0100.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</w:t>
      </w:r>
      <w:r w:rsidR="00567581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Pokud je nájemce povinen složit kauci, učiní tak před každou akcí. K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auc</w:t>
      </w:r>
      <w:r w:rsidR="00567581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e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mu bude vrácena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</w:t>
      </w:r>
      <w:r w:rsidR="00BC4A2E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 p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okud bude objekt předán v pořádku. </w:t>
      </w:r>
      <w:r w:rsidR="00C0635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Obec </w:t>
      </w:r>
      <w:r w:rsidR="003E75A4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si vyhrazuje právo kauci použít v případě nedodržení podmínek tohoto řádu k sjednání nápravy</w:t>
      </w:r>
      <w:r w:rsidR="00EA7869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 xml:space="preserve">. </w:t>
      </w:r>
    </w:p>
    <w:p w14:paraId="1F2B01C7" w14:textId="0DA8B7D5" w:rsidR="0083388F" w:rsidRPr="0001059D" w:rsidRDefault="00EA7869" w:rsidP="0001059D">
      <w:pPr>
        <w:pStyle w:val="Nadpis1"/>
        <w:jc w:val="both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01059D">
        <w:rPr>
          <w:rFonts w:asciiTheme="minorHAnsi" w:eastAsiaTheme="minorHAnsi" w:hAnsiTheme="minorHAnsi" w:cstheme="minorBidi"/>
          <w:color w:val="auto"/>
          <w:sz w:val="20"/>
          <w:szCs w:val="22"/>
        </w:rPr>
        <w:t>Tímto ustanovením není dotčen</w:t>
      </w:r>
      <w:r w:rsidR="0083388F" w:rsidRPr="0001059D">
        <w:rPr>
          <w:rFonts w:asciiTheme="minorHAnsi" w:eastAsiaTheme="minorHAnsi" w:hAnsiTheme="minorHAnsi" w:cstheme="minorBidi"/>
          <w:color w:val="auto"/>
          <w:sz w:val="20"/>
          <w:szCs w:val="22"/>
        </w:rPr>
        <w:t>a povinnost uhradit poplatek ze vstupného dle Obecně závazné vyhlášky obce Velká Lečice</w:t>
      </w:r>
      <w:r w:rsidR="00567581" w:rsidRPr="0001059D">
        <w:rPr>
          <w:rFonts w:asciiTheme="minorHAnsi" w:eastAsiaTheme="minorHAnsi" w:hAnsiTheme="minorHAnsi" w:cstheme="minorBidi"/>
          <w:color w:val="auto"/>
          <w:sz w:val="20"/>
          <w:szCs w:val="22"/>
        </w:rPr>
        <w:t xml:space="preserve"> </w:t>
      </w:r>
      <w:r w:rsidR="0083388F" w:rsidRPr="0001059D">
        <w:rPr>
          <w:rFonts w:asciiTheme="minorHAnsi" w:eastAsiaTheme="minorHAnsi" w:hAnsiTheme="minorHAnsi" w:cstheme="minorBidi"/>
          <w:color w:val="auto"/>
          <w:sz w:val="20"/>
          <w:szCs w:val="22"/>
        </w:rPr>
        <w:t>o místním poplatku ze vstupného</w:t>
      </w:r>
      <w:r w:rsidR="00567581" w:rsidRPr="0001059D">
        <w:rPr>
          <w:rFonts w:asciiTheme="minorHAnsi" w:eastAsiaTheme="minorHAnsi" w:hAnsiTheme="minorHAnsi" w:cstheme="minorBidi"/>
          <w:color w:val="auto"/>
          <w:sz w:val="20"/>
          <w:szCs w:val="22"/>
        </w:rPr>
        <w:t>.</w:t>
      </w:r>
    </w:p>
    <w:p w14:paraId="0B03E054" w14:textId="33D22039" w:rsidR="00EA7869" w:rsidRPr="008C2A66" w:rsidRDefault="00EA7869" w:rsidP="00BC4A2E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7B85CC3" w14:textId="77777777" w:rsidR="008C2A66" w:rsidRDefault="00B74798" w:rsidP="008C2A66">
      <w:pPr>
        <w:pStyle w:val="Bezmezer"/>
        <w:rPr>
          <w:b/>
          <w:bCs/>
        </w:rPr>
      </w:pPr>
      <w:r w:rsidRPr="008C2A66">
        <w:rPr>
          <w:b/>
          <w:bCs/>
        </w:rPr>
        <w:t>VII. Úlevy nájemného</w:t>
      </w:r>
    </w:p>
    <w:p w14:paraId="7B12C598" w14:textId="35331A54" w:rsidR="00B74798" w:rsidRPr="0001059D" w:rsidRDefault="00B74798" w:rsidP="0001059D">
      <w:pPr>
        <w:pStyle w:val="Bezmezer"/>
        <w:jc w:val="both"/>
        <w:rPr>
          <w:sz w:val="20"/>
        </w:rPr>
      </w:pPr>
      <w:r w:rsidRPr="008C2A66">
        <w:rPr>
          <w:b/>
          <w:bCs/>
        </w:rPr>
        <w:br/>
      </w:r>
      <w:r w:rsidRPr="0001059D">
        <w:rPr>
          <w:sz w:val="20"/>
        </w:rPr>
        <w:t xml:space="preserve">Obec </w:t>
      </w:r>
      <w:r w:rsidR="00314159" w:rsidRPr="0001059D">
        <w:rPr>
          <w:sz w:val="20"/>
        </w:rPr>
        <w:t>Velká Lečice</w:t>
      </w:r>
      <w:r w:rsidRPr="0001059D">
        <w:rPr>
          <w:sz w:val="20"/>
        </w:rPr>
        <w:t xml:space="preserve"> dle vlastního uvážení může udělit výjimky v daném ceníku či pozměnit podmínky pronájmu. Tyto úlevy se budou nejvíce týkat místních spolků a organizací a také místních občanů.</w:t>
      </w:r>
    </w:p>
    <w:p w14:paraId="12F3A27F" w14:textId="77777777" w:rsidR="008C2A66" w:rsidRDefault="008C2A66" w:rsidP="008C2A66">
      <w:pPr>
        <w:pStyle w:val="Bezmezer"/>
      </w:pPr>
    </w:p>
    <w:p w14:paraId="108C6207" w14:textId="16CB5E76" w:rsidR="00314159" w:rsidRPr="008C2A66" w:rsidRDefault="00314159" w:rsidP="008C2A66">
      <w:pPr>
        <w:pStyle w:val="Bezmezer"/>
        <w:rPr>
          <w:b/>
          <w:bCs/>
        </w:rPr>
      </w:pPr>
      <w:r w:rsidRPr="008C2A66">
        <w:rPr>
          <w:b/>
          <w:bCs/>
        </w:rPr>
        <w:t>VIII. Důležitá telefonní čísla</w:t>
      </w:r>
    </w:p>
    <w:p w14:paraId="4A59EDCF" w14:textId="77777777" w:rsidR="008C2A66" w:rsidRDefault="008C2A66" w:rsidP="008C2A66">
      <w:pPr>
        <w:pStyle w:val="Bezmezer"/>
      </w:pPr>
    </w:p>
    <w:p w14:paraId="1547A253" w14:textId="25679EFE" w:rsidR="008C2A66" w:rsidRDefault="008C2A66" w:rsidP="008C2A66">
      <w:pPr>
        <w:pStyle w:val="Bezmezer"/>
      </w:pPr>
      <w:r>
        <w:t>Záchranná služba</w:t>
      </w:r>
      <w:r>
        <w:tab/>
        <w:t>155</w:t>
      </w:r>
    </w:p>
    <w:p w14:paraId="4A0588F3" w14:textId="173A61AF" w:rsidR="008C2A66" w:rsidRDefault="008C2A66" w:rsidP="008C2A66">
      <w:pPr>
        <w:pStyle w:val="Bezmezer"/>
      </w:pPr>
      <w:r>
        <w:t>Policie</w:t>
      </w:r>
      <w:r>
        <w:tab/>
      </w:r>
      <w:r>
        <w:tab/>
      </w:r>
      <w:r>
        <w:tab/>
        <w:t>158</w:t>
      </w:r>
    </w:p>
    <w:p w14:paraId="7785E75A" w14:textId="7CEC0E3A" w:rsidR="008C2A66" w:rsidRDefault="008C2A66" w:rsidP="008C2A66">
      <w:pPr>
        <w:pStyle w:val="Bezmezer"/>
      </w:pPr>
      <w:r>
        <w:t>Hasiči</w:t>
      </w:r>
      <w:r>
        <w:tab/>
      </w:r>
      <w:r>
        <w:tab/>
      </w:r>
      <w:r>
        <w:tab/>
        <w:t>150</w:t>
      </w:r>
    </w:p>
    <w:p w14:paraId="766D4B73" w14:textId="39259858" w:rsidR="008C2A66" w:rsidRPr="00B74798" w:rsidRDefault="008C2A66" w:rsidP="008C2A66">
      <w:pPr>
        <w:pStyle w:val="Bezmezer"/>
      </w:pPr>
      <w:r>
        <w:t>Tísňová linka</w:t>
      </w:r>
      <w:r>
        <w:tab/>
      </w:r>
      <w:r>
        <w:tab/>
        <w:t>112</w:t>
      </w:r>
    </w:p>
    <w:p w14:paraId="5A264330" w14:textId="77777777" w:rsidR="008C2A66" w:rsidRDefault="008C2A66" w:rsidP="008C2A66">
      <w:pPr>
        <w:pStyle w:val="Bezmezer"/>
      </w:pPr>
    </w:p>
    <w:p w14:paraId="1A335B0C" w14:textId="00F2EC60" w:rsidR="00B74798" w:rsidRPr="008C2A66" w:rsidRDefault="008C2A66" w:rsidP="008C2A66">
      <w:pPr>
        <w:pStyle w:val="Bezmezer"/>
        <w:rPr>
          <w:b/>
          <w:bCs/>
        </w:rPr>
      </w:pPr>
      <w:r>
        <w:rPr>
          <w:b/>
          <w:bCs/>
        </w:rPr>
        <w:t>IX</w:t>
      </w:r>
      <w:r w:rsidR="00B74798" w:rsidRPr="008C2A66">
        <w:rPr>
          <w:b/>
          <w:bCs/>
        </w:rPr>
        <w:t>. Účinnost</w:t>
      </w:r>
    </w:p>
    <w:p w14:paraId="704686AB" w14:textId="77777777" w:rsidR="008C2A66" w:rsidRPr="00B74798" w:rsidRDefault="008C2A66" w:rsidP="008C2A66">
      <w:pPr>
        <w:pStyle w:val="Bezmezer"/>
      </w:pPr>
    </w:p>
    <w:p w14:paraId="3F389488" w14:textId="2CC6C038" w:rsidR="00B74798" w:rsidRPr="0001059D" w:rsidRDefault="00B74798" w:rsidP="0001059D">
      <w:pPr>
        <w:pStyle w:val="Normln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</w:pP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Účinnost tohoto provozního řádu je od 9.5.202</w:t>
      </w:r>
      <w:r w:rsidR="00314159"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4</w:t>
      </w:r>
      <w:r w:rsidRPr="0001059D">
        <w:rPr>
          <w:rFonts w:asciiTheme="minorHAnsi" w:eastAsiaTheme="minorHAnsi" w:hAnsiTheme="minorHAnsi" w:cstheme="minorBidi"/>
          <w:kern w:val="2"/>
          <w:sz w:val="20"/>
          <w:szCs w:val="22"/>
          <w:lang w:eastAsia="en-US"/>
          <w14:ligatures w14:val="standardContextual"/>
        </w:rPr>
        <w:t>, kdy byl tento schválen na veřejném zasedání obecního zastupitelstva.</w:t>
      </w:r>
    </w:p>
    <w:p w14:paraId="3BEE32CD" w14:textId="77777777" w:rsidR="00314159" w:rsidRPr="00B74798" w:rsidRDefault="00314159" w:rsidP="00B74798">
      <w:pPr>
        <w:pStyle w:val="Normlnweb"/>
        <w:shd w:val="clear" w:color="auto" w:fill="FFFFFF"/>
        <w:spacing w:before="0" w:beforeAutospacing="0"/>
        <w:rPr>
          <w:rFonts w:ascii="Calibri" w:hAnsi="Calibri" w:cs="Calibri"/>
          <w:color w:val="535759"/>
        </w:rPr>
      </w:pPr>
    </w:p>
    <w:p w14:paraId="66A3A28E" w14:textId="77777777" w:rsidR="00314159" w:rsidRDefault="00314159" w:rsidP="00314159">
      <w:pPr>
        <w:pStyle w:val="Bezmezer"/>
      </w:pPr>
      <w:r>
        <w:t>Bc. Patricie Svobodová</w:t>
      </w:r>
    </w:p>
    <w:p w14:paraId="33158FDB" w14:textId="32FC08C3" w:rsidR="00B74798" w:rsidRPr="00B74798" w:rsidRDefault="00314159" w:rsidP="0001059D">
      <w:pPr>
        <w:pStyle w:val="Bezmezer"/>
        <w:rPr>
          <w:rFonts w:ascii="Calibri" w:eastAsia="Times New Roman" w:hAnsi="Calibri" w:cs="Calibri"/>
          <w:color w:val="535759"/>
          <w:kern w:val="0"/>
          <w:sz w:val="24"/>
          <w:szCs w:val="24"/>
          <w:lang w:eastAsia="cs-CZ"/>
          <w14:ligatures w14:val="none"/>
        </w:rPr>
      </w:pPr>
      <w:r>
        <w:t xml:space="preserve">starostka </w:t>
      </w:r>
      <w:r w:rsidR="00B74798" w:rsidRPr="00B74798">
        <w:t>obc</w:t>
      </w:r>
      <w:r w:rsidR="009502B6">
        <w:t>e</w:t>
      </w:r>
    </w:p>
    <w:sectPr w:rsidR="00B74798" w:rsidRPr="00B7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B3"/>
    <w:rsid w:val="0001059D"/>
    <w:rsid w:val="000826E7"/>
    <w:rsid w:val="002C4CCB"/>
    <w:rsid w:val="00314159"/>
    <w:rsid w:val="003B77E1"/>
    <w:rsid w:val="003E75A4"/>
    <w:rsid w:val="00567581"/>
    <w:rsid w:val="005E0449"/>
    <w:rsid w:val="005F32A7"/>
    <w:rsid w:val="00807CB3"/>
    <w:rsid w:val="0083388F"/>
    <w:rsid w:val="0085649A"/>
    <w:rsid w:val="008C2A66"/>
    <w:rsid w:val="008D7033"/>
    <w:rsid w:val="009502B6"/>
    <w:rsid w:val="00B74798"/>
    <w:rsid w:val="00BC40AE"/>
    <w:rsid w:val="00BC4A2E"/>
    <w:rsid w:val="00C06354"/>
    <w:rsid w:val="00D36758"/>
    <w:rsid w:val="00D91534"/>
    <w:rsid w:val="00E17595"/>
    <w:rsid w:val="00E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2C4A"/>
  <w15:chartTrackingRefBased/>
  <w15:docId w15:val="{1A2F1DDC-AC0F-4C20-9249-5CB9C5D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C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C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C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C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C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C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0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C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C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C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C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CB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0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314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Svobodová</dc:creator>
  <cp:keywords/>
  <dc:description/>
  <cp:lastModifiedBy>Ucetni</cp:lastModifiedBy>
  <cp:revision>2</cp:revision>
  <dcterms:created xsi:type="dcterms:W3CDTF">2024-05-28T12:25:00Z</dcterms:created>
  <dcterms:modified xsi:type="dcterms:W3CDTF">2024-05-28T12:25:00Z</dcterms:modified>
</cp:coreProperties>
</file>